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bCs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bCs/>
          <w:color w:val="000000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 w:cs="仿宋_GB2312" w:hAnsiTheme="minorEastAsia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仿宋_GB2312" w:hAnsiTheme="minorEastAsia"/>
          <w:bCs/>
          <w:color w:val="000000"/>
          <w:sz w:val="28"/>
          <w:szCs w:val="28"/>
        </w:rPr>
        <w:t>工程建设项目廉政责任书</w:t>
      </w:r>
    </w:p>
    <w:bookmarkEnd w:id="0"/>
    <w:p>
      <w:pPr>
        <w:jc w:val="left"/>
        <w:rPr>
          <w:rFonts w:cs="仿宋_GB2312" w:asciiTheme="minorEastAsia" w:hAnsiTheme="minorEastAsia" w:eastAsiaTheme="minorEastAsia"/>
          <w:color w:val="000000"/>
          <w:szCs w:val="21"/>
        </w:rPr>
      </w:pPr>
    </w:p>
    <w:p>
      <w:pPr>
        <w:jc w:val="left"/>
        <w:rPr>
          <w:rFonts w:cs="仿宋_GB2312" w:asciiTheme="minorEastAsia" w:hAnsiTheme="minorEastAsia" w:eastAsiaTheme="minorEastAsia"/>
          <w:color w:val="000000"/>
          <w:szCs w:val="21"/>
        </w:rPr>
      </w:pP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工程项目名称： 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工程项目地址： 无锡市钱荣路 </w:t>
      </w:r>
      <w:r>
        <w:rPr>
          <w:rFonts w:hint="eastAsia" w:cs="仿宋_GB2312" w:asciiTheme="minorEastAsia" w:hAnsiTheme="minorEastAsia" w:eastAsiaTheme="minorEastAsia"/>
          <w:b/>
          <w:bCs/>
          <w:color w:val="000000"/>
          <w:szCs w:val="21"/>
        </w:rPr>
        <w:t xml:space="preserve">68 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>号无锡太湖学院校内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>建设单位（甲方）： 无锡太湖学院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>基建组成员（乙方）：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    为加强工程建设中的廉政建设，规范工程建设项目的各项活动，防止发生各种谋取不正当利益的违法违纪行为，保护集体和当事人的合法权益，根据国家有关工程建设的法律法规和廉政建设责任制规定，特订立本廉政责任书。凡在工程建设的事前、事中、事后应遵守以下规定：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    1.不准向施工等相关单位索要或接受回扣、礼金、有价证券、贵重物品和好处费、感谢费等。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    2.不准在施工等相关单位报销任何应由个人支付的费用。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    3.不准要求、暗示或接受施工等相关单位为个人装修住房、婚丧嫁娶、配偶子女的工作安排以及出国（境）、旅游等提供方便。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    4.不准参加有可能影响公正执行公务的施工等相关单位宴请和健身、娱乐等活动。单位购买项目工程施工合同规定以外的材料、设备等。</w:t>
      </w:r>
    </w:p>
    <w:p>
      <w:pPr>
        <w:ind w:firstLine="420" w:firstLineChars="200"/>
        <w:rPr>
          <w:rFonts w:cs="仿宋_GB2312" w:asciiTheme="minorEastAsia" w:hAnsiTheme="minorEastAsia" w:eastAsiaTheme="minorEastAsia"/>
          <w:color w:val="000000"/>
          <w:szCs w:val="21"/>
        </w:rPr>
      </w:pPr>
      <w:r>
        <w:rPr>
          <w:rFonts w:hint="eastAsia" w:cs="仿宋_GB2312" w:asciiTheme="minorEastAsia" w:hAnsiTheme="minorEastAsia" w:eastAsiaTheme="minorEastAsia"/>
          <w:color w:val="000000"/>
          <w:szCs w:val="21"/>
        </w:rPr>
        <w:t>凡有违约，依据有关法律法规和规定给予党纪、政纪处分或组织处理；涉嫌犯罪，移交司法机关追究刑事责任；给相关单位造成经济损失的，应由个人予以赔偿。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 xml:space="preserve">    本责任书一式二份，由甲乙双方各执一份，其有效期为双方签署之日起至该工程项目竣工验收合格时止。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</w:p>
    <w:p>
      <w:r>
        <w:rPr>
          <w:rFonts w:hint="eastAsia" w:cs="仿宋_GB2312" w:asciiTheme="minorEastAsia" w:hAnsiTheme="minorEastAsia" w:eastAsiaTheme="minorEastAsia"/>
          <w:color w:val="000000"/>
          <w:szCs w:val="21"/>
        </w:rPr>
        <w:t>甲方单位：（盖章）                 乙方：（签名）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>法定代表人：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t>电话：                            电话：</w:t>
      </w:r>
      <w:r>
        <w:rPr>
          <w:rFonts w:hint="eastAsia" w:cs="仿宋_GB2312" w:asciiTheme="minorEastAsia" w:hAnsiTheme="minorEastAsia" w:eastAsiaTheme="minorEastAsia"/>
          <w:color w:val="000000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57741"/>
    <w:rsid w:val="580577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_l_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2018-10-23T07:53:00Z</dcterms:created>
  <dc:creator>u_l_y</dc:creator>
  <cp:lastModifiedBy>u_l_y</cp:lastModifiedBy>
  <dcterms:modified xsi:type="dcterms:W3CDTF">2018-10-23T07:54:20Z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